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26" w:rsidRDefault="00BD6063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Theme="minorHAnsi"/>
          <w:kern w:val="2"/>
          <w:sz w:val="44"/>
          <w:szCs w:val="44"/>
        </w:rPr>
      </w:pPr>
      <w:r>
        <w:rPr>
          <w:rFonts w:ascii="方正小标宋简体" w:eastAsia="方正小标宋简体" w:hAnsiTheme="minorHAnsi" w:hint="eastAsia"/>
          <w:kern w:val="2"/>
          <w:sz w:val="44"/>
          <w:szCs w:val="44"/>
        </w:rPr>
        <w:t>聊城市公安局2023年度政府</w:t>
      </w:r>
    </w:p>
    <w:p w:rsidR="009D2D26" w:rsidRDefault="00BD6063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Theme="minorHAnsi"/>
          <w:kern w:val="2"/>
          <w:sz w:val="44"/>
          <w:szCs w:val="44"/>
        </w:rPr>
      </w:pPr>
      <w:r>
        <w:rPr>
          <w:rFonts w:ascii="方正小标宋简体" w:eastAsia="方正小标宋简体" w:hAnsiTheme="minorHAnsi" w:hint="eastAsia"/>
          <w:kern w:val="2"/>
          <w:sz w:val="44"/>
          <w:szCs w:val="44"/>
        </w:rPr>
        <w:t>信息公开工作报告</w:t>
      </w:r>
    </w:p>
    <w:p w:rsidR="009D2D26" w:rsidRDefault="009D2D26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Theme="minorHAnsi"/>
          <w:kern w:val="2"/>
          <w:sz w:val="44"/>
          <w:szCs w:val="44"/>
        </w:rPr>
      </w:pP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根据《中华人民共和国政府信息公开条例》（国务院令第711号，以下简称《条例》）规定，特向社会公布聊城市公安局（以下简称“市公安局”）2023年度政府信息公开工作年度报告。本报告由总体情况，主动公开政府信息情况，收到和处理政府信息公开申请情况，政府信息公开行政复议、提起行政诉讼情况，存在的主要问题及改进情况，其他需报告的事项共六个部分组成。本报告中所列数据的统计期限自2023年1月1日起至12月31日止。如对本报告有任何疑问，请与聊城市公安局政府信息公开办公室联系。地址：东昌府区昌润路中段98号，邮编：252000，电话：0635-7170096，传真：0635-8682062。</w:t>
      </w:r>
    </w:p>
    <w:p w:rsidR="009D2D26" w:rsidRDefault="00BD6063" w:rsidP="009D2D2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b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b/>
          <w:kern w:val="2"/>
          <w:sz w:val="32"/>
          <w:szCs w:val="32"/>
        </w:rPr>
        <w:t>一、总体情况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（一）主动加大信息公开力度。</w:t>
      </w:r>
      <w:r>
        <w:rPr>
          <w:rFonts w:ascii="楷体" w:eastAsia="楷体" w:hAnsi="楷体" w:cs="楷体" w:hint="eastAsia"/>
          <w:kern w:val="2"/>
          <w:sz w:val="32"/>
          <w:szCs w:val="32"/>
        </w:rPr>
        <w:t>一是公开规章制度。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>严格按照规定，将市公安局相关工作制度、工作规定、局内规范等进行公开。</w:t>
      </w:r>
      <w:r>
        <w:rPr>
          <w:rFonts w:ascii="楷体" w:eastAsia="楷体" w:hAnsi="楷体" w:cs="楷体" w:hint="eastAsia"/>
          <w:kern w:val="2"/>
          <w:sz w:val="32"/>
          <w:szCs w:val="32"/>
        </w:rPr>
        <w:t>二是优化工作流程。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>结合工作实际，进一步调整优化局机关政府信息公开工作流程，各有关部门定期更新信息。2023年以来，共计在市政府信息公开网站发布信息770条。</w:t>
      </w:r>
      <w:r>
        <w:rPr>
          <w:rFonts w:ascii="楷体" w:eastAsia="楷体" w:hAnsi="楷体" w:cs="楷体" w:hint="eastAsia"/>
          <w:kern w:val="2"/>
          <w:sz w:val="32"/>
          <w:szCs w:val="32"/>
        </w:rPr>
        <w:t>三是利用公开平台。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>继续利用微信公众号等新型公开平台，让公众及时了解我市公安机关重大工作部署和打击整治工作情况，满足广大群众的知情权和监督权。2023年，在省级政务新媒体发表三篇文章，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lastRenderedPageBreak/>
        <w:t>在市级报纸媒体发表两篇文章。</w:t>
      </w:r>
      <w:r>
        <w:rPr>
          <w:rFonts w:ascii="楷体" w:eastAsia="楷体" w:hAnsi="楷体" w:cs="楷体" w:hint="eastAsia"/>
          <w:kern w:val="2"/>
          <w:sz w:val="32"/>
          <w:szCs w:val="32"/>
        </w:rPr>
        <w:t>四是建议提案结果公开。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>2023年，市公安局共接到人大建议18条、政协提案24份，均已全部高质量办结。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（二）进一步规范依申请公开工作。进一步完善工作机制，实行定人定岗定责，畅通网上受理渠道，完善线上线下流转审批，规范政府信息依申请公开办理工作。一是坚持“以公开为常态、不公开为例外，遵循公正、公平、合法、便民”的原则，依法依规办理群众提交的政府信息公开依申请。二是进一步健全依申请公开的受理、流转、审核、答复等流程规范，形成多部门联动相互协同配合的工作机制，确保依法及时作出答复。三是强化警种部门协同配合，进一步细化对承办单位的督促指导，积极对接上级部门做好意见征询，有效确保答复条款适用正确。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（三）不断丰富政府信息公开平台。市公安局充分利用聊城市人民政府网、“平安聊城”微博、“聊城公安”微信公众号等多种渠道主动公开政府信息。“平安聊城”微博粉丝量达80万，2023年共发布94条信息；微信公众号关注用户107万余人，2023年共发布2243条信息。同时在各级新闻媒体发表稿件6300余篇，其中中央级媒体310篇，省级媒体790篇，取得了良好效果。此外，在交警、出入境、户政和各派出所的政务公开专栏中公开办事程序、服务承诺及相关收费标准。2023年以来，市公安局不断加强微信公众号的日常运维管理，及时更新工作动态，无因网站和微信公众号存在问题被国家、省、市、通报情况。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lastRenderedPageBreak/>
        <w:t>（四）加强政府信息管理和监督保障。</w:t>
      </w:r>
      <w:r>
        <w:rPr>
          <w:rFonts w:ascii="仿宋" w:eastAsia="仿宋" w:hAnsi="仿宋"/>
          <w:sz w:val="32"/>
          <w:szCs w:val="32"/>
        </w:rPr>
        <w:t>调整充实了政务公开工作的领导小组，为全市公安机关政务公开工作顺利开展提供了有力的组织保障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>按照“先审查、后公开”和“一事一审”原则，局直各单位对拟发布的政府信息，严格落实承办人员初审、承办单位负责人审核、分管局领导审发的政府信息公开制度，依法依规做好信息公开保密审查，未经审查和批准不得对外发布政府信息。安排专人定期开展历史稿件错敏排查，做好网站日常巡检和监测工作。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（五）。</w:t>
      </w:r>
    </w:p>
    <w:p w:rsidR="009D2D26" w:rsidRDefault="00BD6063" w:rsidP="009D2D26">
      <w:pPr>
        <w:spacing w:after="0" w:line="600" w:lineRule="exact"/>
        <w:ind w:firstLineChars="200" w:firstLine="640"/>
        <w:rPr>
          <w:rFonts w:ascii="仿宋_GB2312" w:eastAsia="仿宋_GB2312" w:hAnsiTheme="minorHAnsi"/>
          <w:b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b/>
          <w:kern w:val="2"/>
          <w:sz w:val="32"/>
          <w:szCs w:val="32"/>
        </w:rPr>
        <w:t>二、主动公开政府信息情况</w:t>
      </w:r>
    </w:p>
    <w:tbl>
      <w:tblPr>
        <w:tblW w:w="919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01"/>
        <w:gridCol w:w="2175"/>
        <w:gridCol w:w="2280"/>
        <w:gridCol w:w="2235"/>
      </w:tblGrid>
      <w:tr w:rsidR="009D2D26">
        <w:trPr>
          <w:trHeight w:val="375"/>
          <w:tblCellSpacing w:w="0" w:type="dxa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第二十条第（一）项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信息内容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本年制发件数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本年废止件数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现行有效件数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规章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720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行政规范性文件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第二十条第（五）项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信息内容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本年处理决定数量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行政许可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570457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第二十条第（六）项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信息内容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本年处理决定数量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行政处罚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4330032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行政强制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56129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第二十条第（八）项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信息内容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本年收费金额（单位：万元）</w:t>
            </w:r>
          </w:p>
        </w:tc>
      </w:tr>
      <w:tr w:rsidR="009D2D26">
        <w:trPr>
          <w:trHeight w:val="375"/>
          <w:tblCellSpacing w:w="0" w:type="dxa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行政事业性收费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233</w:t>
            </w:r>
          </w:p>
        </w:tc>
      </w:tr>
    </w:tbl>
    <w:p w:rsidR="009D2D26" w:rsidRDefault="00BD6063" w:rsidP="009D2D26">
      <w:pPr>
        <w:spacing w:after="0" w:line="600" w:lineRule="exact"/>
        <w:ind w:firstLineChars="200" w:firstLine="640"/>
        <w:rPr>
          <w:rFonts w:ascii="仿宋_GB2312" w:eastAsia="仿宋_GB2312" w:hAnsiTheme="minorHAnsi"/>
          <w:b/>
          <w:bCs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b/>
          <w:bCs/>
          <w:kern w:val="2"/>
          <w:sz w:val="32"/>
          <w:szCs w:val="32"/>
        </w:rPr>
        <w:t>三、收到和处理政府信息公开申请情况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0"/>
        <w:gridCol w:w="1150"/>
        <w:gridCol w:w="3101"/>
        <w:gridCol w:w="772"/>
        <w:gridCol w:w="510"/>
        <w:gridCol w:w="510"/>
        <w:gridCol w:w="698"/>
        <w:gridCol w:w="673"/>
        <w:gridCol w:w="873"/>
        <w:gridCol w:w="798"/>
      </w:tblGrid>
      <w:tr w:rsidR="009D2D26">
        <w:trPr>
          <w:trHeight w:val="420"/>
          <w:tblCellSpacing w:w="0" w:type="dxa"/>
        </w:trPr>
        <w:tc>
          <w:tcPr>
            <w:tcW w:w="5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申请人情况</w:t>
            </w:r>
          </w:p>
        </w:tc>
      </w:tr>
      <w:tr w:rsidR="009D2D26">
        <w:trPr>
          <w:trHeight w:val="420"/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总计</w:t>
            </w:r>
          </w:p>
        </w:tc>
      </w:tr>
      <w:tr w:rsidR="009D2D26">
        <w:trPr>
          <w:trHeight w:val="315"/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商业企业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科研机构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社会公益组织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法律服务机构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9D2D26">
        <w:trPr>
          <w:trHeight w:val="15"/>
          <w:tblCellSpacing w:w="0" w:type="dxa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</w:tr>
      <w:tr w:rsidR="009D2D26">
        <w:trPr>
          <w:trHeight w:val="15"/>
          <w:tblCellSpacing w:w="0" w:type="dxa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blCellSpacing w:w="0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（一）予以公开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</w:tr>
      <w:tr w:rsidR="009D2D2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（三）不予公开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1.属于国家秘密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3.危及“三安全一稳定”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4.保护第三方合法权益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5.属于三类内部事务信息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6.属于四类过程性信息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7.属于行政执法案卷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8.属于行政查询事项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（四）无法提供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（五）不予处理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1.信访举报投诉类申请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2.重复申请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3.要求提供公开出版物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4.无正当理由大量反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复申请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（六）其他处理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</w:tr>
      <w:tr w:rsidR="009D2D2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3.其他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9D2D2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（七）总计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</w:tr>
      <w:tr w:rsidR="009D2D26">
        <w:trPr>
          <w:tblCellSpacing w:w="0" w:type="dxa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</w:tbl>
    <w:p w:rsidR="009D2D26" w:rsidRDefault="00BD6063" w:rsidP="009D2D26">
      <w:pPr>
        <w:spacing w:after="0" w:line="600" w:lineRule="exact"/>
        <w:ind w:firstLineChars="200" w:firstLine="640"/>
        <w:rPr>
          <w:rFonts w:ascii="仿宋_GB2312" w:eastAsia="仿宋_GB2312" w:hAnsiTheme="minorHAnsi"/>
          <w:b/>
          <w:bCs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b/>
          <w:bCs/>
          <w:kern w:val="2"/>
          <w:sz w:val="32"/>
          <w:szCs w:val="32"/>
        </w:rPr>
        <w:t>四、因政府信息公开工作被申请行政复议、提起行政诉讼情况统计表</w:t>
      </w:r>
    </w:p>
    <w:tbl>
      <w:tblPr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9D2D26">
        <w:trPr>
          <w:trHeight w:val="495"/>
          <w:tblCellSpacing w:w="0" w:type="dxa"/>
        </w:trPr>
        <w:tc>
          <w:tcPr>
            <w:tcW w:w="307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行政诉讼</w:t>
            </w:r>
          </w:p>
        </w:tc>
      </w:tr>
      <w:tr w:rsidR="009D2D26">
        <w:trPr>
          <w:trHeight w:val="540"/>
          <w:tblCellSpacing w:w="0" w:type="dxa"/>
        </w:trPr>
        <w:tc>
          <w:tcPr>
            <w:tcW w:w="6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结果</w:t>
            </w:r>
          </w:p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维持</w:t>
            </w:r>
          </w:p>
        </w:tc>
        <w:tc>
          <w:tcPr>
            <w:tcW w:w="6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结果纠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正</w:t>
            </w:r>
          </w:p>
        </w:tc>
        <w:tc>
          <w:tcPr>
            <w:tcW w:w="6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其他结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果</w:t>
            </w:r>
          </w:p>
        </w:tc>
        <w:tc>
          <w:tcPr>
            <w:tcW w:w="6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尚未</w:t>
            </w:r>
          </w:p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审结</w:t>
            </w:r>
          </w:p>
        </w:tc>
        <w:tc>
          <w:tcPr>
            <w:tcW w:w="66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总</w:t>
            </w:r>
          </w:p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计</w:t>
            </w:r>
          </w:p>
        </w:tc>
        <w:tc>
          <w:tcPr>
            <w:tcW w:w="297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复议后起诉</w:t>
            </w:r>
          </w:p>
        </w:tc>
      </w:tr>
      <w:tr w:rsidR="009D2D26">
        <w:trPr>
          <w:trHeight w:val="900"/>
          <w:tblCellSpacing w:w="0" w:type="dxa"/>
        </w:trPr>
        <w:tc>
          <w:tcPr>
            <w:tcW w:w="0" w:type="auto"/>
            <w:vMerge/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9D2D26" w:rsidRDefault="009D2D26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5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结果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维持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结果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纠正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其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他</w:t>
            </w:r>
          </w:p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结果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尚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未</w:t>
            </w:r>
          </w:p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审结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总计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结果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维持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结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果</w:t>
            </w:r>
          </w:p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纠正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其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他</w:t>
            </w:r>
          </w:p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结果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尚未</w:t>
            </w: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审结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总计</w:t>
            </w:r>
          </w:p>
        </w:tc>
      </w:tr>
      <w:tr w:rsidR="009D2D26">
        <w:trPr>
          <w:trHeight w:val="480"/>
          <w:tblCellSpacing w:w="0" w:type="dxa"/>
        </w:trPr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5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2D26" w:rsidRDefault="00BD6063">
            <w:pPr>
              <w:spacing w:before="100" w:beforeAutospacing="1" w:after="100" w:afterAutospacing="1" w:line="6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</w:tbl>
    <w:p w:rsidR="009D2D26" w:rsidRDefault="00BD6063" w:rsidP="009D2D26">
      <w:pPr>
        <w:numPr>
          <w:ilvl w:val="0"/>
          <w:numId w:val="1"/>
        </w:numPr>
        <w:spacing w:after="0" w:line="600" w:lineRule="exact"/>
        <w:ind w:firstLineChars="200" w:firstLine="640"/>
        <w:rPr>
          <w:rFonts w:ascii="仿宋_GB2312" w:eastAsia="仿宋_GB2312" w:hAnsiTheme="minorHAnsi"/>
          <w:b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b/>
          <w:kern w:val="2"/>
          <w:sz w:val="32"/>
          <w:szCs w:val="32"/>
        </w:rPr>
        <w:t>工作存在的主要问题及改进情况</w:t>
      </w:r>
    </w:p>
    <w:p w:rsidR="009D2D26" w:rsidRDefault="00BD6063">
      <w:pPr>
        <w:pStyle w:val="a3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我局政府信息公开工作开展以来，在服务群众和构建和谐警民关系等方面取得了一定的成绩，但与上级的要求和群众的期待仍有一些差距。一是信息公开的及时性有待进一步提升，网站自身宣传的内容还不够完善，个别部门对政府信息公开工作重视程度不够，主动意识不强，工作推进被动、实效不强。二是政策解读时效和质量需要进一步提高，解读内容的广度和深度不足，形式不够多元，解读形式还需活泼多样更贴近生活。三是信息发布流程还需进一步规范，社会公众对于政府信息公开的参与度有待提高。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 </w:t>
      </w:r>
    </w:p>
    <w:p w:rsidR="009D2D26" w:rsidRDefault="00BD6063">
      <w:pPr>
        <w:pStyle w:val="a3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/>
          <w:b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下一步，市公安局将按照政务公开工作要求，不断改进政务公开工作，进一步提升公安政务公开工作质效。一是全面提高信息公开工作水平，加强信息采集报送，确保政府信息公开制度化、规范化，深入、持续、高效地开展公开工作。二是健全完善政务公开督办制度，增强督办力度，定期通报政务公开工作情况，确保工作真正落到实处。三是注重充实公开内容，加大政策解读力度，围绕满足市民群众最关注、最迫切的信息需求，充实公安信息公开内容，完善主动公开的政府信息目录，加强对公众关注度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高的信息梳理，及时回应社会关注，不断提高群众安全感和公安工作满意度。</w:t>
      </w:r>
    </w:p>
    <w:p w:rsidR="009D2D26" w:rsidRDefault="00BD6063" w:rsidP="009D2D26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b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b/>
          <w:kern w:val="2"/>
          <w:sz w:val="32"/>
          <w:szCs w:val="32"/>
        </w:rPr>
        <w:t>六、其他需要报告的事项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（一）收取政府信息公开信息处理费情况：2023年，聊城市公安局未收取政府信息公开信息处理费。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（二）人大代表建议和政协提案办理结果公开情况：2023年，聊城市公安局共办理人大代表建议18件，政协提案24</w:t>
      </w:r>
      <w:r w:rsidR="00C61D0B">
        <w:rPr>
          <w:rFonts w:ascii="仿宋_GB2312" w:eastAsia="仿宋_GB2312" w:hAnsiTheme="minorHAnsi" w:hint="eastAsia"/>
          <w:kern w:val="2"/>
          <w:sz w:val="32"/>
          <w:szCs w:val="32"/>
        </w:rPr>
        <w:t>件。截至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>目前，所有人大建议、政协提案均已高质量提前办理完毕，面复率、满意率、办结率均为100%，得到了代表、委员的充分肯定。如针对朱国方委员提出的《关于整治私占城区停车位的建议》（142092号）、李乐峰委员提出的《关于聊城市智慧停车平台建设中相关实施措施的建议》（142099号），市公安局充分挖掘停车资源，在市区主次干道“应划尽划”2.6万个停车位，建设了2处口袋停车场，共同推动137个党政机关事业单位免费错时开放4651个车位,在现有条件下最大限度的实现了公共停车位的“扩容”。同时大力开展停车秩序综合整治，市县一体推进“城警联动 并肩行动”，以市区120条“停车严管路”和医院、学校、商场等区域为重点，今年以来查处违法停车13.9万起，清理“僵尸车”831辆，依托警务PDA、智慧勤务APP，处罚前发送提醒短信，77%的车主在收到提醒后及时驶离，收到了良好的社会效果。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> </w:t>
      </w:r>
      <w:r>
        <w:rPr>
          <w:rFonts w:ascii="仿宋_GB2312" w:eastAsia="仿宋_GB2312" w:hAnsiTheme="minorHAnsi" w:hint="eastAsia"/>
          <w:kern w:val="2"/>
          <w:sz w:val="32"/>
          <w:szCs w:val="32"/>
        </w:rPr>
        <w:t xml:space="preserve"> 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lastRenderedPageBreak/>
        <w:t>（三）政务公开工作创新情况：市公安局深入落实《服务保障重大项目十二条举措》，聚焦企业发展需求，探索政务公开新路径、新模式，努力创造安全稳定的社会环境、公平正义的法治环境、优质高效的服务环境，护航经济社会高质量发展，为新时代社会主义现代化强市贡献公安力量。今年以来市公安局充分利用微信公众号、微博、抖音等媒体平台实现警务公开、宣传引领、教育培训、便民服务等功能，共发布信息5000余篇，召开新闻发布会共计11场，及时回应了群众关注，满足了群众知情权。</w:t>
      </w:r>
    </w:p>
    <w:p w:rsidR="009D2D26" w:rsidRDefault="00BD6063">
      <w:pPr>
        <w:spacing w:after="0" w:line="600" w:lineRule="exact"/>
        <w:ind w:firstLineChars="200" w:firstLine="640"/>
        <w:jc w:val="both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ascii="仿宋_GB2312" w:eastAsia="仿宋_GB2312" w:hAnsiTheme="minorHAnsi" w:hint="eastAsia"/>
          <w:kern w:val="2"/>
          <w:sz w:val="32"/>
          <w:szCs w:val="32"/>
        </w:rPr>
        <w:t>（四）落实上级年度政务公开工作要点情况：市公安局不断加强组织领导和工作部署，进一步强化工作职责，定期及时有效的更新政府信息公开目录和指南，充实公开内容，做好法定主动公开的工作，加强本单位政务公开培训，提高政务公开工作人员的业务能力，进一步拓展主动公开工作广度和深度，切实提高工作质量和实效性。</w:t>
      </w:r>
      <w:bookmarkStart w:id="0" w:name="_GoBack"/>
      <w:bookmarkEnd w:id="0"/>
    </w:p>
    <w:p w:rsidR="009D2D26" w:rsidRDefault="009D2D26">
      <w:pPr>
        <w:spacing w:after="0" w:line="60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</w:p>
    <w:p w:rsidR="009D2D26" w:rsidRDefault="009D2D26">
      <w:pPr>
        <w:spacing w:after="0"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9D2D26" w:rsidRDefault="009D2D26">
      <w:pPr>
        <w:spacing w:line="600" w:lineRule="exact"/>
        <w:rPr>
          <w:rFonts w:ascii="微软雅黑" w:hAnsi="微软雅黑"/>
          <w:color w:val="000000"/>
          <w:shd w:val="clear" w:color="auto" w:fill="FFFFFF"/>
        </w:rPr>
      </w:pPr>
    </w:p>
    <w:sectPr w:rsidR="009D2D26" w:rsidSect="009D2D26">
      <w:pgSz w:w="11906" w:h="16838"/>
      <w:pgMar w:top="1587" w:right="1417" w:bottom="158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96" w:rsidRDefault="003E2096">
      <w:r>
        <w:separator/>
      </w:r>
    </w:p>
  </w:endnote>
  <w:endnote w:type="continuationSeparator" w:id="0">
    <w:p w:rsidR="003E2096" w:rsidRDefault="003E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96" w:rsidRDefault="003E2096">
      <w:pPr>
        <w:spacing w:after="0"/>
      </w:pPr>
      <w:r>
        <w:separator/>
      </w:r>
    </w:p>
  </w:footnote>
  <w:footnote w:type="continuationSeparator" w:id="0">
    <w:p w:rsidR="003E2096" w:rsidRDefault="003E20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1962B6"/>
    <w:multiLevelType w:val="singleLevel"/>
    <w:tmpl w:val="A51962B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2I5NzhhZTFlMDc4NWYzNWI1NGJlYjAxZTBjMjc1OTYifQ=="/>
  </w:docVars>
  <w:rsids>
    <w:rsidRoot w:val="00D31D50"/>
    <w:rsid w:val="0004795F"/>
    <w:rsid w:val="000779D3"/>
    <w:rsid w:val="000D4477"/>
    <w:rsid w:val="001051D4"/>
    <w:rsid w:val="00323B43"/>
    <w:rsid w:val="003C6F73"/>
    <w:rsid w:val="003D37D8"/>
    <w:rsid w:val="003E2096"/>
    <w:rsid w:val="00426133"/>
    <w:rsid w:val="004358AB"/>
    <w:rsid w:val="005525CA"/>
    <w:rsid w:val="005A6726"/>
    <w:rsid w:val="00794044"/>
    <w:rsid w:val="00794368"/>
    <w:rsid w:val="007C16D9"/>
    <w:rsid w:val="008B7726"/>
    <w:rsid w:val="00916EC7"/>
    <w:rsid w:val="00946473"/>
    <w:rsid w:val="0096425E"/>
    <w:rsid w:val="009D2D26"/>
    <w:rsid w:val="009D750C"/>
    <w:rsid w:val="00A52623"/>
    <w:rsid w:val="00BD6063"/>
    <w:rsid w:val="00C61D0B"/>
    <w:rsid w:val="00C85D24"/>
    <w:rsid w:val="00CB66BE"/>
    <w:rsid w:val="00D30612"/>
    <w:rsid w:val="00D31D50"/>
    <w:rsid w:val="00E20AFD"/>
    <w:rsid w:val="00E27470"/>
    <w:rsid w:val="014F2155"/>
    <w:rsid w:val="017D5380"/>
    <w:rsid w:val="02CE2CB2"/>
    <w:rsid w:val="04BB1F4F"/>
    <w:rsid w:val="053F7FAA"/>
    <w:rsid w:val="06FC3A06"/>
    <w:rsid w:val="07696335"/>
    <w:rsid w:val="08360008"/>
    <w:rsid w:val="08882010"/>
    <w:rsid w:val="09636FCC"/>
    <w:rsid w:val="09B55EFA"/>
    <w:rsid w:val="0A262D36"/>
    <w:rsid w:val="0A8542A5"/>
    <w:rsid w:val="0B8D3582"/>
    <w:rsid w:val="0BB24D3F"/>
    <w:rsid w:val="0BC74660"/>
    <w:rsid w:val="0C2B2187"/>
    <w:rsid w:val="0C60223A"/>
    <w:rsid w:val="0CCB3E38"/>
    <w:rsid w:val="0CE54E38"/>
    <w:rsid w:val="0E1E5E3A"/>
    <w:rsid w:val="0E3E58DA"/>
    <w:rsid w:val="0E600092"/>
    <w:rsid w:val="0EEA4289"/>
    <w:rsid w:val="0F7A2873"/>
    <w:rsid w:val="0F950E9E"/>
    <w:rsid w:val="10EA5F4D"/>
    <w:rsid w:val="114B4CEC"/>
    <w:rsid w:val="12157C38"/>
    <w:rsid w:val="12E704BE"/>
    <w:rsid w:val="135B46A9"/>
    <w:rsid w:val="136256DC"/>
    <w:rsid w:val="139A32B7"/>
    <w:rsid w:val="13B74DE6"/>
    <w:rsid w:val="14826061"/>
    <w:rsid w:val="14A34FB4"/>
    <w:rsid w:val="15FA0341"/>
    <w:rsid w:val="16406A0E"/>
    <w:rsid w:val="16AB1726"/>
    <w:rsid w:val="17124353"/>
    <w:rsid w:val="180E5EC8"/>
    <w:rsid w:val="187F2B40"/>
    <w:rsid w:val="18A03075"/>
    <w:rsid w:val="18D62A11"/>
    <w:rsid w:val="18ED09E0"/>
    <w:rsid w:val="192667D1"/>
    <w:rsid w:val="194E6691"/>
    <w:rsid w:val="1A877692"/>
    <w:rsid w:val="1AC85552"/>
    <w:rsid w:val="1B680005"/>
    <w:rsid w:val="1CEC0633"/>
    <w:rsid w:val="1D3A3784"/>
    <w:rsid w:val="1DF04AA7"/>
    <w:rsid w:val="1EA5055A"/>
    <w:rsid w:val="1F0B0E67"/>
    <w:rsid w:val="1F20231F"/>
    <w:rsid w:val="210B388F"/>
    <w:rsid w:val="21A91D49"/>
    <w:rsid w:val="223C34B6"/>
    <w:rsid w:val="22E6394F"/>
    <w:rsid w:val="22E9155F"/>
    <w:rsid w:val="22EE45DF"/>
    <w:rsid w:val="24482291"/>
    <w:rsid w:val="24CD15F1"/>
    <w:rsid w:val="24D20982"/>
    <w:rsid w:val="26F86CAF"/>
    <w:rsid w:val="27027F0C"/>
    <w:rsid w:val="272C271A"/>
    <w:rsid w:val="273C14DC"/>
    <w:rsid w:val="274A3B83"/>
    <w:rsid w:val="289D572F"/>
    <w:rsid w:val="28AB02C8"/>
    <w:rsid w:val="29125B79"/>
    <w:rsid w:val="2941403E"/>
    <w:rsid w:val="2A093A87"/>
    <w:rsid w:val="2B0453DA"/>
    <w:rsid w:val="2B2865A2"/>
    <w:rsid w:val="2BD32CF3"/>
    <w:rsid w:val="2CDF1F2B"/>
    <w:rsid w:val="2E1B3EB1"/>
    <w:rsid w:val="2E3076D9"/>
    <w:rsid w:val="2ECB6253"/>
    <w:rsid w:val="2F386C07"/>
    <w:rsid w:val="2FFC7C4A"/>
    <w:rsid w:val="30470FC3"/>
    <w:rsid w:val="32142838"/>
    <w:rsid w:val="321502BA"/>
    <w:rsid w:val="32FC2741"/>
    <w:rsid w:val="32FE0237"/>
    <w:rsid w:val="33196C24"/>
    <w:rsid w:val="33FE7DDA"/>
    <w:rsid w:val="345B739C"/>
    <w:rsid w:val="34CF5046"/>
    <w:rsid w:val="353E3FE9"/>
    <w:rsid w:val="35BF6203"/>
    <w:rsid w:val="36EE5F2E"/>
    <w:rsid w:val="370F6463"/>
    <w:rsid w:val="372E794B"/>
    <w:rsid w:val="37A17DB6"/>
    <w:rsid w:val="38F97288"/>
    <w:rsid w:val="393C3734"/>
    <w:rsid w:val="395850A3"/>
    <w:rsid w:val="3A2A1651"/>
    <w:rsid w:val="3A9956AF"/>
    <w:rsid w:val="3A9D7939"/>
    <w:rsid w:val="3AD92EAA"/>
    <w:rsid w:val="3B063AE5"/>
    <w:rsid w:val="3B071567"/>
    <w:rsid w:val="3B5612E6"/>
    <w:rsid w:val="3D243E5F"/>
    <w:rsid w:val="3D5D1A3B"/>
    <w:rsid w:val="3D926692"/>
    <w:rsid w:val="3D965098"/>
    <w:rsid w:val="3DE96EE1"/>
    <w:rsid w:val="3F60303B"/>
    <w:rsid w:val="404A4AB3"/>
    <w:rsid w:val="409741F1"/>
    <w:rsid w:val="40B7780E"/>
    <w:rsid w:val="40BB01C3"/>
    <w:rsid w:val="40CF35E1"/>
    <w:rsid w:val="41F149BD"/>
    <w:rsid w:val="423D6402"/>
    <w:rsid w:val="427427F8"/>
    <w:rsid w:val="42C07614"/>
    <w:rsid w:val="42CE6929"/>
    <w:rsid w:val="43593652"/>
    <w:rsid w:val="43B60E25"/>
    <w:rsid w:val="43C57DBB"/>
    <w:rsid w:val="4409502C"/>
    <w:rsid w:val="441546C2"/>
    <w:rsid w:val="458A03B4"/>
    <w:rsid w:val="460C548B"/>
    <w:rsid w:val="468653C0"/>
    <w:rsid w:val="469324D8"/>
    <w:rsid w:val="46AB5B85"/>
    <w:rsid w:val="46BD331C"/>
    <w:rsid w:val="46C11D22"/>
    <w:rsid w:val="48C51069"/>
    <w:rsid w:val="491164F6"/>
    <w:rsid w:val="49920446"/>
    <w:rsid w:val="4A0D35E9"/>
    <w:rsid w:val="4A18529C"/>
    <w:rsid w:val="4C8E3AA7"/>
    <w:rsid w:val="4EBA0BB9"/>
    <w:rsid w:val="4EE833CF"/>
    <w:rsid w:val="4FC77A71"/>
    <w:rsid w:val="50124B01"/>
    <w:rsid w:val="50FE5CC4"/>
    <w:rsid w:val="518F15DB"/>
    <w:rsid w:val="51E101BC"/>
    <w:rsid w:val="521F23EC"/>
    <w:rsid w:val="53677B96"/>
    <w:rsid w:val="53B931EA"/>
    <w:rsid w:val="53D116C9"/>
    <w:rsid w:val="53F61947"/>
    <w:rsid w:val="552F624E"/>
    <w:rsid w:val="561455C8"/>
    <w:rsid w:val="56235666"/>
    <w:rsid w:val="566278C5"/>
    <w:rsid w:val="569071B7"/>
    <w:rsid w:val="56B56E61"/>
    <w:rsid w:val="58AA6505"/>
    <w:rsid w:val="5AD90D18"/>
    <w:rsid w:val="5B3E42C0"/>
    <w:rsid w:val="5BA800EC"/>
    <w:rsid w:val="5C183C23"/>
    <w:rsid w:val="5C546007"/>
    <w:rsid w:val="5D0402DA"/>
    <w:rsid w:val="5DDD008C"/>
    <w:rsid w:val="5FE03FD9"/>
    <w:rsid w:val="60713CA0"/>
    <w:rsid w:val="618B4015"/>
    <w:rsid w:val="6198047A"/>
    <w:rsid w:val="61FE1535"/>
    <w:rsid w:val="6271733B"/>
    <w:rsid w:val="63AE5C4E"/>
    <w:rsid w:val="63B32720"/>
    <w:rsid w:val="63CA5DD6"/>
    <w:rsid w:val="63EC3B7F"/>
    <w:rsid w:val="64474FAE"/>
    <w:rsid w:val="644D709C"/>
    <w:rsid w:val="644E430E"/>
    <w:rsid w:val="646F5052"/>
    <w:rsid w:val="65B953D5"/>
    <w:rsid w:val="65DF3FAF"/>
    <w:rsid w:val="663E564D"/>
    <w:rsid w:val="66682C0E"/>
    <w:rsid w:val="681A6B43"/>
    <w:rsid w:val="684E502D"/>
    <w:rsid w:val="694740A7"/>
    <w:rsid w:val="6A426762"/>
    <w:rsid w:val="6BBA2ACB"/>
    <w:rsid w:val="6BD5497A"/>
    <w:rsid w:val="6C7147F8"/>
    <w:rsid w:val="6C970F26"/>
    <w:rsid w:val="6D251D1D"/>
    <w:rsid w:val="6D427BC4"/>
    <w:rsid w:val="6DAC5479"/>
    <w:rsid w:val="6DEE2B32"/>
    <w:rsid w:val="6EC7274E"/>
    <w:rsid w:val="6F33787F"/>
    <w:rsid w:val="6FD31987"/>
    <w:rsid w:val="71CF04C8"/>
    <w:rsid w:val="73F7554E"/>
    <w:rsid w:val="766C5613"/>
    <w:rsid w:val="76743492"/>
    <w:rsid w:val="76D774B3"/>
    <w:rsid w:val="777E374F"/>
    <w:rsid w:val="77C9463C"/>
    <w:rsid w:val="79350CE9"/>
    <w:rsid w:val="79964206"/>
    <w:rsid w:val="7A124B07"/>
    <w:rsid w:val="7AB4245F"/>
    <w:rsid w:val="7AB65962"/>
    <w:rsid w:val="7B9C495B"/>
    <w:rsid w:val="7C2648BF"/>
    <w:rsid w:val="7CF1528D"/>
    <w:rsid w:val="7D741FE3"/>
    <w:rsid w:val="7DBE36DC"/>
    <w:rsid w:val="7DC50AE8"/>
    <w:rsid w:val="7DFD25D2"/>
    <w:rsid w:val="7FA23D95"/>
    <w:rsid w:val="7FCA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2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D2D2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D2D26"/>
    <w:rPr>
      <w:b/>
      <w:bCs/>
    </w:rPr>
  </w:style>
  <w:style w:type="paragraph" w:styleId="a5">
    <w:name w:val="List Paragraph"/>
    <w:basedOn w:val="a"/>
    <w:uiPriority w:val="34"/>
    <w:qFormat/>
    <w:rsid w:val="009D2D26"/>
    <w:pPr>
      <w:ind w:firstLineChars="200" w:firstLine="420"/>
    </w:pPr>
  </w:style>
  <w:style w:type="character" w:customStyle="1" w:styleId="textjd9wg">
    <w:name w:val="text_jd9wg"/>
    <w:basedOn w:val="a0"/>
    <w:qFormat/>
    <w:rsid w:val="009D2D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2024-05-07T01:00:00Z</dcterms:created>
  <dcterms:modified xsi:type="dcterms:W3CDTF">2024-05-07T01:00:00Z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BC9CDFAB9073472D8F6560BA63D07086</vt:lpwstr>
  </property>
</Properties>
</file>